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399B2583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0477B976" wp14:anchorId="7EC4CFDE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>
        <w:rPr>
          <w:rFonts w:cs="Arial"/>
          <w:b/>
          <w:noProof/>
          <w:color w:val="595959" w:themeColor="text1" w:themeTint="A6"/>
          <w:sz w:val="40"/>
          <w:szCs w:val="20"/>
          <w:lang w:eastAsia="Japanese"/>
          <w:eastAsianLayout/>
        </w:rPr>
        <w:t xml:space="preserve">ブランド音声テンプレート</w:t>
      </w:r>
    </w:p>
    <w:p w:rsidRPr="00493C7C" w:rsidR="00B460B2" w:rsidP="00493C7C" w:rsidRDefault="00B460B2" w14:paraId="0FFAE4F0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7903D7" w:rsidTr="00107A10" w14:paraId="471B7C45" w14:textId="77777777">
        <w:trPr>
          <w:trHeight w:val="576"/>
        </w:trPr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7903D7" w:rsidR="007903D7" w:rsidP="00D721E7" w:rsidRDefault="00D721E7" w14:paraId="272D96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eastAsia="Japanese"/>
                <w:eastAsianLayout/>
              </w:rPr>
              <w:t>特徴・特徴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oub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C2E4DC"/>
            <w:vAlign w:val="center"/>
          </w:tcPr>
          <w:p w:rsidRPr="007903D7" w:rsidR="007903D7" w:rsidP="00D721E7" w:rsidRDefault="007903D7" w14:paraId="1AF608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 w:rsidRPr="007903D7">
              <w:rPr>
                <w:rFonts w:cs="Arial"/>
                <w:noProof/>
                <w:color w:val="000000" w:themeColor="text1"/>
                <w:sz w:val="28"/>
                <w:szCs w:val="28"/>
                <w:lang w:eastAsia="Japanese"/>
                <w:eastAsianLayout/>
              </w:rPr>
              <w:t>形容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E3F6B7"/>
            <w:vAlign w:val="center"/>
          </w:tcPr>
          <w:p w:rsidRPr="007903D7" w:rsidR="007903D7" w:rsidP="00EE69B1" w:rsidRDefault="00EE69B1" w14:paraId="6BA475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eastAsia="Japanese"/>
                <w:eastAsianLayout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eastAsia="Japanese"/>
                <w:eastAsianLayout/>
              </w:rPr>
              <w:t>する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7903D7" w:rsidR="007903D7" w:rsidP="00D721E7" w:rsidRDefault="00EE69B1" w14:paraId="1F3B75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eastAsia="Japanese"/>
                <w:eastAsianLayout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eastAsia="Japanese"/>
                <w:eastAsianLayout/>
              </w:rPr>
              <w:t>できません</w:t>
            </w:r>
          </w:p>
        </w:tc>
      </w:tr>
      <w:tr w:rsidR="007903D7" w:rsidTr="0098454E" w14:paraId="24C0E120" w14:textId="77777777">
        <w:trPr>
          <w:trHeight w:val="1656"/>
        </w:trPr>
        <w:tc>
          <w:tcPr>
            <w:tcW w:w="3597" w:type="dxa"/>
            <w:tcBorders>
              <w:top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047B4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eastAsia="Japanese"/>
                <w:eastAsianLayout/>
              </w:rPr>
              <w:t>純正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09A26203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eastAsia="Japanese"/>
                <w:eastAsianLayout/>
              </w:rPr>
              <w:t xml:space="preserve">私たちは強い自己意識を持っています。 </w:t>
            </w:r>
          </w:p>
          <w:p w:rsidRPr="00D721E7" w:rsidR="007903D7" w:rsidP="00D721E7" w:rsidRDefault="00D721E7" w14:paraId="3596D206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eastAsia="Japanese"/>
                <w:eastAsianLayout/>
              </w:rPr>
              <w:t xml:space="preserve">私たちは知識が豊富で、あなたの問題を解決することができます。 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76040E3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本物で独創的である</w:t>
            </w:r>
          </w:p>
          <w:p w:rsidRPr="00D721E7" w:rsidR="00D721E7" w:rsidP="00EE69B1" w:rsidRDefault="00D721E7" w14:paraId="14A22C4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正直に言う</w:t>
            </w:r>
          </w:p>
          <w:p w:rsidRPr="00D721E7" w:rsidR="00D721E7" w:rsidP="00EE69B1" w:rsidRDefault="00D721E7" w14:paraId="2C8845D4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強い言葉を使う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02EBA0C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複雑すぎる</w:t>
            </w:r>
          </w:p>
          <w:p w:rsidRPr="00D721E7" w:rsidR="00D721E7" w:rsidP="00EE69B1" w:rsidRDefault="00D721E7" w14:paraId="2484703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受動態を使用する</w:t>
            </w:r>
          </w:p>
          <w:p w:rsidRPr="00D721E7" w:rsidR="00D721E7" w:rsidP="00EE69B1" w:rsidRDefault="00D721E7" w14:paraId="07D22ACE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一般的で抽象的な言葉で話す</w:t>
            </w:r>
          </w:p>
        </w:tc>
      </w:tr>
      <w:tr w:rsidR="007903D7" w:rsidTr="0098454E" w14:paraId="3D97152F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16895C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eastAsia="Japanese"/>
                <w:eastAsianLayout/>
              </w:rPr>
              <w:t>親しみ やすい</w:t>
            </w: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D721E7" w14:paraId="2EB30AFE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eastAsia="Japanese"/>
                <w:eastAsianLayout/>
              </w:rPr>
              <w:t xml:space="preserve">私たちはフレンドリーで、のんびりしていて、コミュニティに投資しています。私たちはリラックスしていますが、プロフェッショナルです。 </w:t>
            </w: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25B973D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快適であること</w:t>
            </w:r>
          </w:p>
          <w:p w:rsidRPr="00D721E7" w:rsidR="00D721E7" w:rsidP="00EE69B1" w:rsidRDefault="00D721E7" w14:paraId="569DB01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招待する</w:t>
            </w:r>
          </w:p>
          <w:p w:rsidRPr="00D721E7" w:rsidR="00D721E7" w:rsidP="00EE69B1" w:rsidRDefault="00D721E7" w14:paraId="7A79F41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ジョークや画像を含める</w:t>
            </w: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33951E7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面白すぎる</w:t>
            </w:r>
          </w:p>
          <w:p w:rsidRPr="00D721E7" w:rsidR="00D721E7" w:rsidP="00EE69B1" w:rsidRDefault="00C910BE" w14:paraId="7ABEC9D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フレンドリーすぎる音</w:t>
            </w:r>
          </w:p>
          <w:p w:rsidRPr="00D721E7" w:rsidR="00D721E7" w:rsidP="00EE69B1" w:rsidRDefault="00C910BE" w14:paraId="04514A2B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eastAsia="Japanese"/>
                <w:eastAsianLayout/>
              </w:rPr>
              <w:t>売れ過ぎ</w:t>
            </w:r>
          </w:p>
        </w:tc>
      </w:tr>
      <w:tr w:rsidR="007903D7" w:rsidTr="0098454E" w14:paraId="227B05A3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814837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760357F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951CD35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523A527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7903D7" w:rsidTr="0098454E" w14:paraId="23458F3B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49406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1DCDE0E5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E396557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AF1A4A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D721E7" w:rsidTr="0098454E" w14:paraId="15CA6305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D721E7" w:rsidP="007903D7" w:rsidRDefault="00D721E7" w14:paraId="3E947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6181276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32D0CF9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0FB7B5E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</w:tbl>
    <w:p w:rsidR="00436154" w:rsidP="00B460B2" w:rsidRDefault="00436154" w14:paraId="10457336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5361A187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37E99BF" w14:textId="77777777">
      <w:pPr>
        <w:bidi w:val="false"/>
        <w:rPr>
          <w:noProof/>
        </w:rPr>
      </w:pPr>
    </w:p>
    <w:p w:rsidRPr="00491059" w:rsidR="00C60A1F" w:rsidP="00D4300C" w:rsidRDefault="00C60A1F" w14:paraId="0ADD2F3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8386C6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2685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59318A4E" w14:textId="77777777"/>
          <w:p w:rsidRPr="00491059" w:rsidR="00FF51C2" w:rsidP="00BA1CA5" w:rsidRDefault="00FF51C2" w14:paraId="5C93ABF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17A3B78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9FA6" w14:textId="77777777" w:rsidR="005174FC" w:rsidRDefault="005174FC" w:rsidP="00D4300C">
      <w:r>
        <w:separator/>
      </w:r>
    </w:p>
  </w:endnote>
  <w:endnote w:type="continuationSeparator" w:id="0">
    <w:p w14:paraId="28095627" w14:textId="77777777" w:rsidR="005174FC" w:rsidRDefault="005174F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27BE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F8DE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C71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B939" w14:textId="77777777" w:rsidR="005174FC" w:rsidRDefault="005174FC" w:rsidP="00D4300C">
      <w:r>
        <w:separator/>
      </w:r>
    </w:p>
  </w:footnote>
  <w:footnote w:type="continuationSeparator" w:id="0">
    <w:p w14:paraId="2A8888E8" w14:textId="77777777" w:rsidR="005174FC" w:rsidRDefault="005174F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2520" w:hanging="360"/>
      </w:pPr>
    </w:lvl>
    <w:lvl w:ilvl="2" w:tplc="0409001B" w:tentative="1">
      <w:start w:val="1"/>
      <w:numFmt w:val="chineseCounting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chineseCounting"/>
      <w:lvlText w:val="%5."/>
      <w:lvlJc w:val="left"/>
      <w:pPr>
        <w:ind w:left="4680" w:hanging="360"/>
      </w:pPr>
    </w:lvl>
    <w:lvl w:ilvl="5" w:tplc="0409001B" w:tentative="1">
      <w:start w:val="1"/>
      <w:numFmt w:val="chineseCounting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chineseCounting"/>
      <w:lvlText w:val="%8."/>
      <w:lvlJc w:val="left"/>
      <w:pPr>
        <w:ind w:left="6840" w:hanging="360"/>
      </w:pPr>
    </w:lvl>
    <w:lvl w:ilvl="8" w:tplc="0409001B" w:tentative="1">
      <w:start w:val="1"/>
      <w:numFmt w:val="chineseCounting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5"/>
  </w:num>
  <w:num w:numId="13">
    <w:abstractNumId w:val="34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6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7"/>
  </w:num>
  <w:num w:numId="35">
    <w:abstractNumId w:val="19"/>
  </w:num>
  <w:num w:numId="36">
    <w:abstractNumId w:val="12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C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174FC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8454E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6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69&amp;utm_language=JA&amp;utm_source=integrated+content&amp;utm_campaign=/brand-style-guide-template&amp;utm_medium=ic+brand+voice+77469+word+jp&amp;lpa=ic+brand+voice+77469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IC-Brand-Voice-Template_WORD.dotx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2021-10-31T01:23:00Z</dcterms:created>
  <dcterms:modified xsi:type="dcterms:W3CDTF">2021-10-31T01:23:00Z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