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D00" w:rsidP="00D4300C" w:rsidRDefault="00CB4DF0" w14:paraId="1BBB32E2"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Spanish"/>
        </w:rPr>
        <w:drawing>
          <wp:anchor distT="0" distB="0" distL="114300" distR="114300" simplePos="0" relativeHeight="251658752" behindDoc="1" locked="0" layoutInCell="1" allowOverlap="1" wp14:editId="218FB179" wp14:anchorId="7875D420">
            <wp:simplePos x="0" y="0"/>
            <wp:positionH relativeFrom="column">
              <wp:posOffset>6422535</wp:posOffset>
            </wp:positionH>
            <wp:positionV relativeFrom="paragraph">
              <wp:posOffset>-52705</wp:posOffset>
            </wp:positionV>
            <wp:extent cx="2823406" cy="391819"/>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406" cy="3918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459D3">
        <w:rPr>
          <w:b/>
          <w:color w:val="808080" w:themeColor="background1" w:themeShade="80"/>
          <w:sz w:val="36"/>
          <w:lang w:val="Spanish"/>
        </w:rPr>
        <w:t xml:space="preserve">PLANTILLA DE PLANIFICACIÓN DE CAPACIDAD DE ITIL</w:t>
      </w:r>
    </w:p>
    <w:p w:rsidR="0093157F" w:rsidP="00BF475F" w:rsidRDefault="0093157F" w14:paraId="779BC9BC" w14:textId="77777777">
      <w:bookmarkStart w:name="_Toc354384082" w:id="5"/>
    </w:p>
    <w:p w:rsidR="00C51C72" w:rsidP="00BF475F" w:rsidRDefault="00C51C72" w14:paraId="2E9735FF" w14:textId="77777777"/>
    <w:p w:rsidR="00DB244A" w:rsidP="00BF475F" w:rsidRDefault="00C51C72" w14:paraId="79FF457C" w14:textId="77777777">
      <w:r w:rsidRPr="00C51C72">
        <w:rPr>
          <w:lang w:val="Spanish"/>
        </w:rPr>
        <w:t>La gestión de la capacidad de ITIL garantiza que la capacidad actual de servicio e infraestructura pueda respaldar la prestación de servicios sobre la base de los objetivos de nivel de servicio acordados. Además, la planificación de la capacidad se puede utilizar para calcular los recursos adicionales necesarios para apoyar el crecimiento futuro. Esta plantilla proporciona la información más utilizada al planificar la capacidad futura.</w:t>
      </w:r>
    </w:p>
    <w:p w:rsidR="00C51C72" w:rsidP="00BF475F" w:rsidRDefault="00C51C72" w14:paraId="51199BAF" w14:textId="77777777"/>
    <w:p w:rsidRPr="00C51C72" w:rsidR="00C51C72" w:rsidP="00BF475F" w:rsidRDefault="00C51C72" w14:paraId="5E76694E" w14:textId="77777777">
      <w:pPr>
        <w:bidi w:val="false"/>
        <w:rPr>
          <w:b/>
          <w:color w:val="595959" w:themeColor="text1" w:themeTint="A6"/>
          <w:sz w:val="28"/>
        </w:rPr>
      </w:pPr>
      <w:r w:rsidRPr="00C51C72">
        <w:rPr>
          <w:b/>
          <w:color w:val="595959" w:themeColor="text1" w:themeTint="A6"/>
          <w:sz w:val="28"/>
          <w:lang w:val="Spanish"/>
        </w:rPr>
        <w:t>PLANIFICACIÓN DE LA CAPACIDAD</w:t>
      </w:r>
    </w:p>
    <w:p w:rsidRPr="00DB244A" w:rsidR="00C51C72" w:rsidP="00BF475F" w:rsidRDefault="00C51C72" w14:paraId="7FB2C247"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D4620" w14:paraId="1DEE06A0"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bookmarkEnd w:id="5"/>
          <w:p w:rsidRPr="00C51C72" w:rsidR="00C51C72" w:rsidP="00C51C72" w:rsidRDefault="00C51C72" w14:paraId="07D4220C" w14:textId="77777777">
            <w:pPr>
              <w:bidi w:val="false"/>
              <w:rPr>
                <w:b/>
                <w:color w:val="FFFFFF" w:themeColor="background1"/>
              </w:rPr>
            </w:pPr>
            <w:r w:rsidRPr="00C51C72">
              <w:rPr>
                <w:b/>
                <w:color w:val="FFFFFF" w:themeColor="background1"/>
                <w:lang w:val="Spanish"/>
              </w:rPr>
              <w:t>SERVICIO</w:t>
            </w:r>
          </w:p>
        </w:tc>
        <w:tc>
          <w:tcPr>
            <w:tcW w:w="3150" w:type="dxa"/>
            <w:tcBorders>
              <w:top w:val="single" w:color="BFBFBF" w:sz="4" w:space="0"/>
              <w:left w:val="nil"/>
              <w:bottom w:val="single" w:color="BFBFBF" w:sz="4" w:space="0"/>
              <w:right w:val="single" w:color="BFBFBF" w:sz="4" w:space="0"/>
            </w:tcBorders>
            <w:shd w:val="clear" w:color="000000" w:fill="333F4F"/>
            <w:vAlign w:val="center"/>
            <w:hideMark/>
          </w:tcPr>
          <w:p w:rsidRPr="00C51C72" w:rsidR="00C51C72" w:rsidP="00C51C72" w:rsidRDefault="00C51C72" w14:paraId="702ACA66" w14:textId="77777777">
            <w:pPr>
              <w:bidi w:val="false"/>
              <w:rPr>
                <w:b/>
                <w:color w:val="FFFFFF" w:themeColor="background1"/>
              </w:rPr>
            </w:pPr>
            <w:r w:rsidRPr="00C51C72">
              <w:rPr>
                <w:b/>
                <w:color w:val="FFFFFF" w:themeColor="background1"/>
                <w:lang w:val="Spanish"/>
              </w:rPr>
              <w:t>REQUISITO DE CAPACIDAD</w:t>
            </w:r>
          </w:p>
        </w:tc>
        <w:tc>
          <w:tcPr>
            <w:tcW w:w="2160" w:type="dxa"/>
            <w:tcBorders>
              <w:top w:val="single" w:color="BFBFBF" w:sz="4" w:space="0"/>
              <w:left w:val="nil"/>
              <w:bottom w:val="single" w:color="BFBFBF" w:sz="4" w:space="0"/>
              <w:right w:val="single" w:color="BFBFBF" w:sz="4" w:space="0"/>
            </w:tcBorders>
            <w:shd w:val="clear" w:color="000000" w:fill="333F4F"/>
            <w:vAlign w:val="center"/>
            <w:hideMark/>
          </w:tcPr>
          <w:p w:rsidR="00C51C72" w:rsidP="00C51C72" w:rsidRDefault="00C51C72" w14:paraId="34A3930E" w14:textId="77777777">
            <w:pPr>
              <w:bidi w:val="false"/>
              <w:rPr>
                <w:b/>
                <w:color w:val="FFFFFF" w:themeColor="background1"/>
              </w:rPr>
            </w:pPr>
            <w:r w:rsidRPr="00C51C72">
              <w:rPr>
                <w:b/>
                <w:color w:val="FFFFFF" w:themeColor="background1"/>
                <w:lang w:val="Spanish"/>
              </w:rPr>
              <w:t xml:space="preserve">% DE AUMENTO </w:t>
            </w:r>
          </w:p>
          <w:p w:rsidRPr="00C51C72" w:rsidR="00C51C72" w:rsidP="00C51C72" w:rsidRDefault="00C51C72" w14:paraId="024D5E6D" w14:textId="77777777">
            <w:pPr>
              <w:bidi w:val="false"/>
              <w:rPr>
                <w:b/>
                <w:color w:val="FFFFFF" w:themeColor="background1"/>
              </w:rPr>
            </w:pPr>
            <w:r w:rsidRPr="00C51C72">
              <w:rPr>
                <w:b/>
                <w:color w:val="FFFFFF" w:themeColor="background1"/>
                <w:lang w:val="Spanish"/>
              </w:rPr>
              <w:t>REQUERIDO POR AÑO</w:t>
            </w:r>
          </w:p>
        </w:tc>
        <w:tc>
          <w:tcPr>
            <w:tcW w:w="2160" w:type="dxa"/>
            <w:tcBorders>
              <w:top w:val="single" w:color="BFBFBF" w:sz="4" w:space="0"/>
              <w:left w:val="nil"/>
              <w:bottom w:val="single" w:color="BFBFBF" w:sz="4" w:space="0"/>
              <w:right w:val="single" w:color="BFBFBF" w:sz="4" w:space="0"/>
            </w:tcBorders>
            <w:shd w:val="clear" w:color="000000" w:fill="333F4F"/>
            <w:vAlign w:val="center"/>
          </w:tcPr>
          <w:p w:rsidR="00C51C72" w:rsidP="00C51C72" w:rsidRDefault="00C51C72" w14:paraId="6D2C2302" w14:textId="77777777">
            <w:pPr>
              <w:bidi w:val="false"/>
              <w:rPr>
                <w:b/>
                <w:color w:val="FFFFFF" w:themeColor="background1"/>
              </w:rPr>
            </w:pPr>
            <w:r w:rsidRPr="00C51C72">
              <w:rPr>
                <w:b/>
                <w:color w:val="FFFFFF" w:themeColor="background1"/>
                <w:lang w:val="Spanish"/>
              </w:rPr>
              <w:t xml:space="preserve">CAPACIDAD </w:t>
            </w:r>
          </w:p>
          <w:p w:rsidRPr="00C51C72" w:rsidR="00C51C72" w:rsidP="00C51C72" w:rsidRDefault="00C51C72" w14:paraId="5147F266" w14:textId="77777777">
            <w:pPr>
              <w:bidi w:val="false"/>
              <w:rPr>
                <w:b/>
                <w:color w:val="FFFFFF" w:themeColor="background1"/>
              </w:rPr>
            </w:pPr>
            <w:r w:rsidRPr="00C51C72">
              <w:rPr>
                <w:b/>
                <w:color w:val="FFFFFF" w:themeColor="background1"/>
                <w:lang w:val="Spanish"/>
              </w:rPr>
              <w:t>UMBRAL</w:t>
            </w:r>
          </w:p>
        </w:tc>
        <w:tc>
          <w:tcPr>
            <w:tcW w:w="3689" w:type="dxa"/>
            <w:tcBorders>
              <w:top w:val="single" w:color="BFBFBF" w:sz="4" w:space="0"/>
              <w:left w:val="nil"/>
              <w:bottom w:val="single" w:color="BFBFBF" w:sz="4" w:space="0"/>
              <w:right w:val="single" w:color="BFBFBF" w:sz="4" w:space="0"/>
            </w:tcBorders>
            <w:shd w:val="clear" w:color="000000" w:fill="333F4F"/>
            <w:vAlign w:val="center"/>
          </w:tcPr>
          <w:p w:rsidRPr="00C51C72" w:rsidR="00C51C72" w:rsidP="00C51C72" w:rsidRDefault="00C51C72" w14:paraId="502B0866" w14:textId="77777777">
            <w:pPr>
              <w:bidi w:val="false"/>
              <w:rPr>
                <w:b/>
                <w:color w:val="FFFFFF" w:themeColor="background1"/>
              </w:rPr>
            </w:pPr>
            <w:r w:rsidRPr="00C51C72">
              <w:rPr>
                <w:b/>
                <w:color w:val="FFFFFF" w:themeColor="background1"/>
                <w:lang w:val="Spanish"/>
              </w:rPr>
              <w:t>PLAN DE RESPUESTA</w:t>
            </w:r>
          </w:p>
        </w:tc>
      </w:tr>
      <w:tr w:rsidRPr="001E6381" w:rsidR="00C51C72" w:rsidTr="00CD4620" w14:paraId="3E465FCE" w14:textId="77777777">
        <w:trPr>
          <w:trHeight w:val="1440"/>
        </w:trPr>
        <w:tc>
          <w:tcPr>
            <w:tcW w:w="3420" w:type="dxa"/>
            <w:tcBorders>
              <w:top w:val="single" w:color="BFBFBF" w:sz="4" w:space="0"/>
              <w:left w:val="single" w:color="BFBFBF" w:sz="4" w:space="0"/>
              <w:bottom w:val="single" w:color="BFBFBF" w:themeColor="background1" w:themeShade="BF" w:sz="18" w:space="0"/>
              <w:right w:val="single" w:color="BFBFBF" w:sz="4" w:space="0"/>
            </w:tcBorders>
            <w:shd w:val="clear" w:color="auto" w:fill="EAEEF3"/>
            <w:hideMark/>
          </w:tcPr>
          <w:p w:rsidRPr="00C51C72" w:rsidR="00C51C72" w:rsidP="00C51C72" w:rsidRDefault="00C51C72" w14:paraId="4F80EC3C" w14:textId="77777777">
            <w:pPr>
              <w:bidi w:val="false"/>
              <w:rPr>
                <w:sz w:val="20"/>
              </w:rPr>
            </w:pPr>
            <w:r w:rsidRPr="00C51C72">
              <w:rPr>
                <w:sz w:val="20"/>
                <w:lang w:val="Spanish"/>
              </w:rPr>
              <w:t>Almacenamiento de correo electrónico</w:t>
            </w:r>
          </w:p>
        </w:tc>
        <w:tc>
          <w:tcPr>
            <w:tcW w:w="315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1FF397E9" w14:textId="77777777">
            <w:pPr>
              <w:bidi w:val="false"/>
              <w:rPr>
                <w:sz w:val="20"/>
              </w:rPr>
            </w:pPr>
            <w:r w:rsidRPr="00C51C72">
              <w:rPr>
                <w:sz w:val="20"/>
                <w:lang w:val="Spanish"/>
              </w:rPr>
              <w:t>&lt;requisitos de capacidad&gt;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5F177E83" w14:textId="77777777">
            <w:pPr>
              <w:bidi w:val="false"/>
              <w:rPr>
                <w:sz w:val="20"/>
              </w:rPr>
            </w:pPr>
            <w:r w:rsidRPr="00C51C72">
              <w:rPr>
                <w:sz w:val="20"/>
                <w:lang w:val="Spanish"/>
              </w:rPr>
              <w:t>&lt;aumento estimado&gt;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235D62A0" w14:textId="77777777">
            <w:pPr>
              <w:bidi w:val="false"/>
              <w:rPr>
                <w:sz w:val="20"/>
              </w:rPr>
            </w:pPr>
            <w:r w:rsidRPr="00C51C72">
              <w:rPr>
                <w:sz w:val="20"/>
                <w:lang w:val="Spanish"/>
              </w:rPr>
              <w:t>&lt;Qué capacidad requiere un cambio?&gt;</w:t>
            </w:r>
          </w:p>
        </w:tc>
        <w:tc>
          <w:tcPr>
            <w:tcW w:w="3689"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509D5157" w14:textId="77777777">
            <w:pPr>
              <w:bidi w:val="false"/>
              <w:rPr>
                <w:sz w:val="20"/>
              </w:rPr>
            </w:pPr>
            <w:r w:rsidRPr="00C51C72">
              <w:rPr>
                <w:sz w:val="20"/>
                <w:lang w:val="Spanish"/>
              </w:rPr>
              <w:t>&lt;Qué es el plan cuando se alcanza un umbral?&gt;</w:t>
            </w:r>
          </w:p>
        </w:tc>
      </w:tr>
    </w:tbl>
    <w:p w:rsidR="00C51C72" w:rsidP="00197419" w:rsidRDefault="00C51C72" w14:paraId="2CD63C93" w14:textId="77777777"/>
    <w:p w:rsidR="00C51C72" w:rsidP="00197419" w:rsidRDefault="00C51C72" w14:paraId="31DEABF8" w14:textId="77777777"/>
    <w:p w:rsidR="00197419" w:rsidP="00197419" w:rsidRDefault="00C51C72" w14:paraId="46781765" w14:textId="77777777">
      <w:r w:rsidRPr="00C51C72">
        <w:rPr>
          <w:lang w:val="Spanish"/>
        </w:rPr>
        <w:t>A medida que analiza los servicios que TI proporciona al negocio, es esencial evaluar el impacto del tiempo de inactividad. Este gráfico de análisis de impacto en el negocio se puede utilizar para comprender completamente la criticidad de cada servicio y por qué.</w:t>
      </w:r>
    </w:p>
    <w:p w:rsidR="00C51C72" w:rsidP="00197419" w:rsidRDefault="00C51C72" w14:paraId="0826506A" w14:textId="77777777"/>
    <w:p w:rsidRPr="00C51C72" w:rsidR="00C51C72" w:rsidP="00197419" w:rsidRDefault="00C51C72" w14:paraId="40E7BA5D" w14:textId="77777777">
      <w:pPr>
        <w:bidi w:val="false"/>
        <w:rPr>
          <w:b/>
          <w:color w:val="595959" w:themeColor="text1" w:themeTint="A6"/>
          <w:sz w:val="28"/>
          <w:szCs w:val="28"/>
        </w:rPr>
      </w:pPr>
      <w:r w:rsidRPr="00C51C72">
        <w:rPr>
          <w:b/>
          <w:color w:val="595959" w:themeColor="text1" w:themeTint="A6"/>
          <w:sz w:val="28"/>
          <w:szCs w:val="28"/>
          <w:lang w:val="Spanish"/>
        </w:rPr>
        <w:t>ANÁLISIS DE IMPACTO EN EL NEGOCIO</w:t>
      </w:r>
    </w:p>
    <w:p w:rsidRPr="00BF475F" w:rsidR="00C51C72" w:rsidP="00197419" w:rsidRDefault="00C51C72" w14:paraId="14E5630C"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51C72" w:rsidTr="00CD4620" w14:paraId="0B4727DF"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F156DFE" w14:textId="77777777">
            <w:pPr>
              <w:bidi w:val="false"/>
              <w:rPr>
                <w:b/>
                <w:color w:val="FFFFFF" w:themeColor="background1"/>
              </w:rPr>
            </w:pPr>
            <w:r w:rsidRPr="00C51C72">
              <w:rPr>
                <w:b/>
                <w:color w:val="FFFFFF" w:themeColor="background1"/>
                <w:lang w:val="Spanish"/>
              </w:rPr>
              <w:t>SERVICIO</w:t>
            </w:r>
          </w:p>
        </w:tc>
        <w:tc>
          <w:tcPr>
            <w:tcW w:w="162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42990AD" w14:textId="77777777">
            <w:pPr>
              <w:bidi w:val="false"/>
              <w:rPr>
                <w:b/>
                <w:color w:val="FFFFFF" w:themeColor="background1"/>
              </w:rPr>
            </w:pPr>
            <w:r w:rsidRPr="00C51C72">
              <w:rPr>
                <w:b/>
                <w:color w:val="FFFFFF" w:themeColor="background1"/>
                <w:lang w:val="Spanish"/>
              </w:rPr>
              <w:t>IMPACTO</w:t>
            </w:r>
          </w:p>
        </w:tc>
        <w:tc>
          <w:tcPr>
            <w:tcW w:w="153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9A009CD" w14:textId="77777777">
            <w:pPr>
              <w:bidi w:val="false"/>
              <w:rPr>
                <w:b/>
                <w:color w:val="FFFFFF" w:themeColor="background1"/>
              </w:rPr>
            </w:pPr>
            <w:r w:rsidRPr="00C51C72">
              <w:rPr>
                <w:b/>
                <w:color w:val="FFFFFF" w:themeColor="background1"/>
                <w:lang w:val="Spanish"/>
              </w:rPr>
              <w:t>COSTO DEL IMPACTO</w:t>
            </w:r>
          </w:p>
        </w:tc>
        <w:tc>
          <w:tcPr>
            <w:tcW w:w="8009" w:type="dxa"/>
            <w:tcBorders>
              <w:top w:val="single" w:color="BFBFBF" w:sz="4" w:space="0"/>
              <w:left w:val="nil"/>
              <w:bottom w:val="single" w:color="BFBFBF" w:sz="4" w:space="0"/>
              <w:right w:val="single" w:color="BFBFBF" w:sz="4" w:space="0"/>
            </w:tcBorders>
            <w:shd w:val="clear" w:color="auto" w:fill="404040" w:themeFill="text1" w:themeFillTint="BF"/>
            <w:vAlign w:val="center"/>
          </w:tcPr>
          <w:p w:rsidRPr="00C51C72" w:rsidR="00C51C72" w:rsidP="00C51C72" w:rsidRDefault="00C51C72" w14:paraId="4BA4C5DA" w14:textId="77777777">
            <w:pPr>
              <w:bidi w:val="false"/>
              <w:rPr>
                <w:b/>
                <w:color w:val="FFFFFF" w:themeColor="background1"/>
              </w:rPr>
            </w:pPr>
            <w:r w:rsidRPr="00C51C72">
              <w:rPr>
                <w:b/>
                <w:color w:val="FFFFFF" w:themeColor="background1"/>
                <w:lang w:val="Spanish"/>
              </w:rPr>
              <w:t>DETALLES</w:t>
            </w:r>
          </w:p>
        </w:tc>
      </w:tr>
      <w:tr w:rsidRPr="001E6381" w:rsidR="00C51C72" w:rsidTr="00CD4620" w14:paraId="148A2B13" w14:textId="77777777">
        <w:trPr>
          <w:trHeight w:val="2403"/>
        </w:trPr>
        <w:tc>
          <w:tcPr>
            <w:tcW w:w="3420" w:type="dxa"/>
            <w:tcBorders>
              <w:top w:val="single" w:color="BFBFBF" w:sz="4" w:space="0"/>
              <w:left w:val="single" w:color="BFBFBF" w:sz="4" w:space="0"/>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3D14A29" w14:textId="77777777">
            <w:r>
              <w:rPr>
                <w:lang w:val="Spanish"/>
              </w:rPr>
              <w:t>Internet</w:t>
            </w:r>
          </w:p>
        </w:tc>
        <w:tc>
          <w:tcPr>
            <w:tcW w:w="162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F16F0EB" w14:textId="77777777">
            <w:r>
              <w:rPr>
                <w:lang w:val="Spanish"/>
              </w:rPr>
              <w:t>Crítico</w:t>
            </w:r>
          </w:p>
        </w:tc>
        <w:tc>
          <w:tcPr>
            <w:tcW w:w="153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3E254209" w14:textId="77777777">
            <w:r>
              <w:rPr>
                <w:lang w:val="Spanish"/>
              </w:rPr>
              <w:t>$5,000/hora</w:t>
            </w:r>
          </w:p>
        </w:tc>
        <w:tc>
          <w:tcPr>
            <w:tcW w:w="8009"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tcPr>
          <w:p w:rsidR="00C51C72" w:rsidP="00C51C72" w:rsidRDefault="00C51C72" w14:paraId="366324DE" w14:textId="77777777">
            <w:r>
              <w:rPr>
                <w:lang w:val="Spanish"/>
              </w:rPr>
              <w:t xml:space="preserve">Toda la organización depende del acceso a Internet durante el horario comercial. Sin acceso a Internet, los departamentos de ventas, soporte, contabilidad e investigación no podrán realizar sus trabajos, lo que provocará una interrupción en las actividades generadoras de ingresos. </w:t>
            </w:r>
          </w:p>
        </w:tc>
      </w:tr>
    </w:tbl>
    <w:p w:rsidR="00C51C72" w:rsidP="001D4D30" w:rsidRDefault="00C51C72" w14:paraId="13A323E3" w14:textId="77777777">
      <w:pPr>
        <w:pStyle w:val="Heading1"/>
        <w:bidi w:val="false"/>
        <w:spacing w:line="276" w:lineRule="auto"/>
        <w:sectPr w:rsidR="00C51C72" w:rsidSect="00CD4620">
          <w:footerReference w:type="even" r:id="rId13"/>
          <w:footerReference w:type="default" r:id="rId14"/>
          <w:pgSz w:w="15840" w:h="12240" w:orient="landscape"/>
          <w:pgMar w:top="639" w:right="720" w:bottom="720" w:left="720" w:header="720" w:footer="720" w:gutter="0"/>
          <w:cols w:space="720"/>
          <w:docGrid w:linePitch="360"/>
        </w:sectPr>
      </w:pPr>
    </w:p>
    <w:p w:rsidR="00C51C72" w:rsidP="00C51C72" w:rsidRDefault="00C51C72" w14:paraId="74A486D7" w14:textId="77777777"/>
    <w:p w:rsidRPr="00C51C72" w:rsidR="00C51C72" w:rsidP="00C51C72" w:rsidRDefault="00C51C72" w14:paraId="66D5DBF7" w14:textId="77777777">
      <w:pPr>
        <w:bidi w:val="false"/>
        <w:rPr>
          <w:b/>
          <w:color w:val="595959" w:themeColor="text1" w:themeTint="A6"/>
          <w:sz w:val="28"/>
        </w:rPr>
      </w:pPr>
      <w:r w:rsidRPr="00C51C72">
        <w:rPr>
          <w:b/>
          <w:color w:val="595959" w:themeColor="text1" w:themeTint="A6"/>
          <w:sz w:val="28"/>
          <w:lang w:val="Spanish"/>
        </w:rPr>
        <w:t>PLANIFICACIÓN DE LA CAPACIDAD</w:t>
      </w:r>
    </w:p>
    <w:p w:rsidRPr="00DB244A" w:rsidR="00C51C72" w:rsidP="00C51C72" w:rsidRDefault="00C51C72" w14:paraId="3564884B"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51C72" w14:paraId="2FD9007F"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6CCD7EDC" w14:textId="77777777">
            <w:pPr>
              <w:bidi w:val="false"/>
              <w:rPr>
                <w:b/>
                <w:color w:val="FFFFFF" w:themeColor="background1"/>
              </w:rPr>
            </w:pPr>
            <w:r w:rsidRPr="00C51C72">
              <w:rPr>
                <w:b/>
                <w:color w:val="FFFFFF" w:themeColor="background1"/>
                <w:lang w:val="Spanish"/>
              </w:rPr>
              <w:t>SERVICIO</w:t>
            </w:r>
          </w:p>
        </w:tc>
        <w:tc>
          <w:tcPr>
            <w:tcW w:w="315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2288A10E" w14:textId="77777777">
            <w:pPr>
              <w:bidi w:val="false"/>
              <w:rPr>
                <w:b/>
                <w:color w:val="FFFFFF" w:themeColor="background1"/>
              </w:rPr>
            </w:pPr>
            <w:r w:rsidRPr="00C51C72">
              <w:rPr>
                <w:b/>
                <w:color w:val="FFFFFF" w:themeColor="background1"/>
                <w:lang w:val="Spanish"/>
              </w:rPr>
              <w:t>REQUISITO DE CAPACIDAD</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00C51C72" w:rsidP="000C08FC" w:rsidRDefault="00C51C72" w14:paraId="6E97558C" w14:textId="77777777">
            <w:pPr>
              <w:bidi w:val="false"/>
              <w:rPr>
                <w:b/>
                <w:color w:val="FFFFFF" w:themeColor="background1"/>
              </w:rPr>
            </w:pPr>
            <w:r w:rsidRPr="00C51C72">
              <w:rPr>
                <w:b/>
                <w:color w:val="FFFFFF" w:themeColor="background1"/>
                <w:lang w:val="Spanish"/>
              </w:rPr>
              <w:t xml:space="preserve">% DE AUMENTO </w:t>
            </w:r>
          </w:p>
          <w:p w:rsidRPr="00C51C72" w:rsidR="00C51C72" w:rsidP="000C08FC" w:rsidRDefault="00C51C72" w14:paraId="3EB9D64B" w14:textId="77777777">
            <w:pPr>
              <w:bidi w:val="false"/>
              <w:rPr>
                <w:b/>
                <w:color w:val="FFFFFF" w:themeColor="background1"/>
              </w:rPr>
            </w:pPr>
            <w:r w:rsidRPr="00C51C72">
              <w:rPr>
                <w:b/>
                <w:color w:val="FFFFFF" w:themeColor="background1"/>
                <w:lang w:val="Spanish"/>
              </w:rPr>
              <w:t>REQUERIDO POR AÑO</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00C51C72" w:rsidP="000C08FC" w:rsidRDefault="00C51C72" w14:paraId="7A5ECD97" w14:textId="77777777">
            <w:pPr>
              <w:bidi w:val="false"/>
              <w:rPr>
                <w:b/>
                <w:color w:val="FFFFFF" w:themeColor="background1"/>
              </w:rPr>
            </w:pPr>
            <w:r w:rsidRPr="00C51C72">
              <w:rPr>
                <w:b/>
                <w:color w:val="FFFFFF" w:themeColor="background1"/>
                <w:lang w:val="Spanish"/>
              </w:rPr>
              <w:t xml:space="preserve">CAPACIDAD </w:t>
            </w:r>
          </w:p>
          <w:p w:rsidRPr="00C51C72" w:rsidR="00C51C72" w:rsidP="000C08FC" w:rsidRDefault="00C51C72" w14:paraId="22020B99" w14:textId="77777777">
            <w:pPr>
              <w:bidi w:val="false"/>
              <w:rPr>
                <w:b/>
                <w:color w:val="FFFFFF" w:themeColor="background1"/>
              </w:rPr>
            </w:pPr>
            <w:r w:rsidRPr="00C51C72">
              <w:rPr>
                <w:b/>
                <w:color w:val="FFFFFF" w:themeColor="background1"/>
                <w:lang w:val="Spanish"/>
              </w:rPr>
              <w:t>UMBRAL</w:t>
            </w:r>
          </w:p>
        </w:tc>
        <w:tc>
          <w:tcPr>
            <w:tcW w:w="3689"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Pr="00C51C72" w:rsidR="00C51C72" w:rsidP="000C08FC" w:rsidRDefault="00C51C72" w14:paraId="4383BC3B" w14:textId="77777777">
            <w:pPr>
              <w:bidi w:val="false"/>
              <w:rPr>
                <w:b/>
                <w:color w:val="FFFFFF" w:themeColor="background1"/>
              </w:rPr>
            </w:pPr>
            <w:r w:rsidRPr="00C51C72">
              <w:rPr>
                <w:b/>
                <w:color w:val="FFFFFF" w:themeColor="background1"/>
                <w:lang w:val="Spanish"/>
              </w:rPr>
              <w:t>PLAN DE RESPUESTA</w:t>
            </w:r>
          </w:p>
        </w:tc>
      </w:tr>
      <w:tr w:rsidRPr="001E6381" w:rsidR="00C51C72" w:rsidTr="00C51C72" w14:paraId="1DED54C4"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32F4D28B"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53DE021"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61CC56A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7266BC9"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1801F3A9" w14:textId="77777777">
            <w:pPr>
              <w:bidi w:val="false"/>
              <w:rPr>
                <w:sz w:val="20"/>
              </w:rPr>
            </w:pPr>
          </w:p>
        </w:tc>
      </w:tr>
      <w:tr w:rsidRPr="001E6381" w:rsidR="00C51C72" w:rsidTr="00C51C72" w14:paraId="4B94E162"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34D9A9C9"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D5361E8"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22DFCB9D"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E9300B3"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688EDBD8" w14:textId="77777777">
            <w:pPr>
              <w:bidi w:val="false"/>
              <w:rPr>
                <w:sz w:val="20"/>
              </w:rPr>
            </w:pPr>
          </w:p>
        </w:tc>
      </w:tr>
      <w:tr w:rsidRPr="001E6381" w:rsidR="00C51C72" w:rsidTr="00C51C72" w14:paraId="3F8AF03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997465E"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B734EDB"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1A4DEB6"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D00939B"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A2B7096" w14:textId="77777777">
            <w:pPr>
              <w:bidi w:val="false"/>
              <w:rPr>
                <w:sz w:val="20"/>
              </w:rPr>
            </w:pPr>
          </w:p>
        </w:tc>
      </w:tr>
      <w:tr w:rsidRPr="001E6381" w:rsidR="00C51C72" w:rsidTr="00C51C72" w14:paraId="35808F7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502E3546"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7BEA4E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07CA2AE3"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1DBF392"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E1C0F38" w14:textId="77777777">
            <w:pPr>
              <w:bidi w:val="false"/>
              <w:rPr>
                <w:sz w:val="20"/>
              </w:rPr>
            </w:pPr>
          </w:p>
        </w:tc>
      </w:tr>
    </w:tbl>
    <w:p w:rsidR="00C51C72" w:rsidP="00C51C72" w:rsidRDefault="00C51C72" w14:paraId="200CA3F2" w14:textId="77777777"/>
    <w:p w:rsidRPr="00C51C72" w:rsidR="00CD4620" w:rsidP="00CD4620" w:rsidRDefault="00CD4620" w14:paraId="1FFA3AFB" w14:textId="77777777">
      <w:pPr>
        <w:bidi w:val="false"/>
        <w:rPr>
          <w:b/>
          <w:color w:val="595959" w:themeColor="text1" w:themeTint="A6"/>
          <w:sz w:val="28"/>
          <w:szCs w:val="28"/>
        </w:rPr>
      </w:pPr>
      <w:r w:rsidRPr="00C51C72">
        <w:rPr>
          <w:b/>
          <w:color w:val="595959" w:themeColor="text1" w:themeTint="A6"/>
          <w:sz w:val="28"/>
          <w:szCs w:val="28"/>
          <w:lang w:val="Spanish"/>
        </w:rPr>
        <w:lastRenderedPageBreak/>
        <w:t>ANÁLISIS DE IMPACTO EN EL NEGOCIO</w:t>
      </w:r>
    </w:p>
    <w:p w:rsidRPr="00BF475F" w:rsidR="00CD4620" w:rsidP="00CD4620" w:rsidRDefault="00CD4620" w14:paraId="5DB56E46"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D4620" w:rsidTr="00CD4620" w14:paraId="2084F577"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4544B06" w14:textId="77777777">
            <w:pPr>
              <w:bidi w:val="false"/>
              <w:rPr>
                <w:b/>
                <w:color w:val="FFFFFF" w:themeColor="background1"/>
              </w:rPr>
            </w:pPr>
            <w:r w:rsidRPr="00C51C72">
              <w:rPr>
                <w:b/>
                <w:color w:val="FFFFFF" w:themeColor="background1"/>
                <w:lang w:val="Spanish"/>
              </w:rPr>
              <w:t>SERVICIO</w:t>
            </w:r>
          </w:p>
        </w:tc>
        <w:tc>
          <w:tcPr>
            <w:tcW w:w="162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00CEE59F" w14:textId="77777777">
            <w:pPr>
              <w:bidi w:val="false"/>
              <w:rPr>
                <w:b/>
                <w:color w:val="FFFFFF" w:themeColor="background1"/>
              </w:rPr>
            </w:pPr>
            <w:r w:rsidRPr="00C51C72">
              <w:rPr>
                <w:b/>
                <w:color w:val="FFFFFF" w:themeColor="background1"/>
                <w:lang w:val="Spanish"/>
              </w:rPr>
              <w:t>IMPACTO</w:t>
            </w:r>
          </w:p>
        </w:tc>
        <w:tc>
          <w:tcPr>
            <w:tcW w:w="153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C4BC055" w14:textId="77777777">
            <w:pPr>
              <w:bidi w:val="false"/>
              <w:rPr>
                <w:b/>
                <w:color w:val="FFFFFF" w:themeColor="background1"/>
              </w:rPr>
            </w:pPr>
            <w:r w:rsidRPr="00C51C72">
              <w:rPr>
                <w:b/>
                <w:color w:val="FFFFFF" w:themeColor="background1"/>
                <w:lang w:val="Spanish"/>
              </w:rPr>
              <w:t>COSTO DEL IMPACTO</w:t>
            </w:r>
          </w:p>
        </w:tc>
        <w:tc>
          <w:tcPr>
            <w:tcW w:w="8009"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tcPr>
          <w:p w:rsidRPr="00C51C72" w:rsidR="00CD4620" w:rsidP="000C08FC" w:rsidRDefault="00CD4620" w14:paraId="211E3FDE" w14:textId="77777777">
            <w:pPr>
              <w:bidi w:val="false"/>
              <w:rPr>
                <w:b/>
                <w:color w:val="FFFFFF" w:themeColor="background1"/>
              </w:rPr>
            </w:pPr>
            <w:r w:rsidRPr="00C51C72">
              <w:rPr>
                <w:b/>
                <w:color w:val="FFFFFF" w:themeColor="background1"/>
                <w:lang w:val="Spanish"/>
              </w:rPr>
              <w:t>DETALLES</w:t>
            </w:r>
          </w:p>
        </w:tc>
      </w:tr>
      <w:tr w:rsidRPr="001E6381" w:rsidR="00CD4620" w:rsidTr="00CD4620" w14:paraId="01709F2F"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7C98ED7"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A799D90"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69EA280"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ECCCA10" w14:textId="77777777"/>
        </w:tc>
      </w:tr>
      <w:tr w:rsidRPr="001E6381" w:rsidR="00CD4620" w:rsidTr="00CD4620" w14:paraId="42C0EA0B"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897799B"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46211D9B"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F7990A2"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5AE8212" w14:textId="77777777"/>
        </w:tc>
      </w:tr>
      <w:tr w:rsidRPr="001E6381" w:rsidR="00CD4620" w:rsidTr="00CD4620" w14:paraId="33C2EB6C"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DDF8B6C"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03F4AFDD"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5D0B6E0D"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1A89CE7A" w14:textId="77777777"/>
        </w:tc>
      </w:tr>
      <w:tr w:rsidRPr="001E6381" w:rsidR="00CD4620" w:rsidTr="00CD4620" w14:paraId="780F60F0"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7CE648D"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23F458A8"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6FF9D9EE"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F2A6271" w14:textId="77777777"/>
        </w:tc>
      </w:tr>
    </w:tbl>
    <w:p w:rsidRPr="00CD4620" w:rsidR="00CD4620" w:rsidP="00CD4620" w:rsidRDefault="00CD4620" w14:paraId="0106D9DE" w14:textId="77777777">
      <w:pPr>
        <w:bidi w:val="false"/>
        <w:sectPr w:rsidRPr="00CD4620" w:rsidR="00CD4620" w:rsidSect="00C51C72">
          <w:pgSz w:w="15840" w:h="12240" w:orient="landscape"/>
          <w:pgMar w:top="513" w:right="720" w:bottom="720" w:left="720" w:header="720" w:footer="720" w:gutter="0"/>
          <w:cols w:space="720"/>
          <w:docGrid w:linePitch="360"/>
        </w:sectPr>
      </w:pPr>
    </w:p>
    <w:p w:rsidR="003E1C6F" w:rsidP="008E5F44" w:rsidRDefault="003E1C6F" w14:paraId="7EE0C4BB" w14:textId="77777777"/>
    <w:p w:rsidRPr="008E5F44" w:rsidR="00C51C72" w:rsidP="008E5F44" w:rsidRDefault="00C51C72" w14:paraId="0FE824C9" w14:textId="77777777"/>
    <w:p w:rsidRPr="00491059" w:rsidR="00FF51C2" w:rsidP="00D4300C" w:rsidRDefault="00FF51C2" w14:paraId="57D7F2C8"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BBE8DE5" w14:textId="77777777">
        <w:trPr>
          <w:trHeight w:val="2663"/>
        </w:trPr>
        <w:tc>
          <w:tcPr>
            <w:tcW w:w="10583" w:type="dxa"/>
          </w:tcPr>
          <w:p w:rsidRPr="00CB3106" w:rsidR="00FF51C2" w:rsidP="00CB3106" w:rsidRDefault="00FF51C2" w14:paraId="1289D29A" w14:textId="77777777">
            <w:pPr>
              <w:bidi w:val="false"/>
              <w:jc w:val="center"/>
              <w:rPr>
                <w:b/>
                <w:sz w:val="21"/>
              </w:rPr>
            </w:pPr>
            <w:r w:rsidRPr="00CB3106">
              <w:rPr>
                <w:b/>
                <w:sz w:val="21"/>
                <w:lang w:val="Spanish"/>
              </w:rPr>
              <w:t>RENUNCIA</w:t>
            </w:r>
          </w:p>
          <w:p w:rsidRPr="00491059" w:rsidR="00FF51C2" w:rsidP="00D4300C" w:rsidRDefault="00FF51C2" w14:paraId="4C611FA8" w14:textId="77777777"/>
          <w:p w:rsidRPr="00491059" w:rsidR="00FF51C2" w:rsidP="00BA1CA5" w:rsidRDefault="00FF51C2" w14:paraId="45085556" w14:textId="77777777">
            <w:pPr>
              <w:bidi w:val="false"/>
              <w:spacing w:line="276" w:lineRule="auto"/>
              <w:rPr>
                <w:sz w:val="20"/>
              </w:rPr>
            </w:pPr>
            <w:r w:rsidRPr="00CB3106">
              <w:rPr>
                <w:sz w:val="21"/>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491059" w:rsidR="006B5ECE" w:rsidP="00D4300C" w:rsidRDefault="006B5ECE" w14:paraId="0856793D"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3258" w14:textId="77777777" w:rsidR="00222918" w:rsidRDefault="00222918" w:rsidP="00D4300C">
      <w:r>
        <w:separator/>
      </w:r>
    </w:p>
  </w:endnote>
  <w:endnote w:type="continuationSeparator" w:id="0">
    <w:p w14:paraId="70E8432D" w14:textId="77777777" w:rsidR="00222918" w:rsidRDefault="0022291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EndPr>
      <w:rPr>
        <w:rStyle w:val="PageNumber"/>
      </w:rPr>
    </w:sdtEndPr>
    <w:sdtContent>
      <w:p w14:paraId="795056D4"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00CBD"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3B3"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ED12" w14:textId="77777777" w:rsidR="00222918" w:rsidRDefault="00222918" w:rsidP="00D4300C">
      <w:r>
        <w:separator/>
      </w:r>
    </w:p>
  </w:footnote>
  <w:footnote w:type="continuationSeparator" w:id="0">
    <w:p w14:paraId="7F16E973" w14:textId="77777777" w:rsidR="00222918" w:rsidRDefault="00222918"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42"/>
  </w:num>
  <w:num w:numId="13">
    <w:abstractNumId w:val="39"/>
  </w:num>
  <w:num w:numId="14">
    <w:abstractNumId w:val="23"/>
  </w:num>
  <w:num w:numId="15">
    <w:abstractNumId w:val="19"/>
  </w:num>
  <w:num w:numId="16">
    <w:abstractNumId w:val="27"/>
  </w:num>
  <w:num w:numId="17">
    <w:abstractNumId w:val="33"/>
  </w:num>
  <w:num w:numId="18">
    <w:abstractNumId w:val="32"/>
  </w:num>
  <w:num w:numId="19">
    <w:abstractNumId w:val="16"/>
  </w:num>
  <w:num w:numId="20">
    <w:abstractNumId w:val="41"/>
  </w:num>
  <w:num w:numId="21">
    <w:abstractNumId w:val="35"/>
  </w:num>
  <w:num w:numId="22">
    <w:abstractNumId w:val="14"/>
  </w:num>
  <w:num w:numId="23">
    <w:abstractNumId w:val="17"/>
  </w:num>
  <w:num w:numId="24">
    <w:abstractNumId w:val="10"/>
  </w:num>
  <w:num w:numId="25">
    <w:abstractNumId w:val="25"/>
  </w:num>
  <w:num w:numId="26">
    <w:abstractNumId w:val="13"/>
  </w:num>
  <w:num w:numId="27">
    <w:abstractNumId w:val="18"/>
  </w:num>
  <w:num w:numId="28">
    <w:abstractNumId w:val="24"/>
  </w:num>
  <w:num w:numId="29">
    <w:abstractNumId w:val="21"/>
  </w:num>
  <w:num w:numId="30">
    <w:abstractNumId w:val="38"/>
  </w:num>
  <w:num w:numId="31">
    <w:abstractNumId w:val="36"/>
  </w:num>
  <w:num w:numId="32">
    <w:abstractNumId w:val="12"/>
  </w:num>
  <w:num w:numId="33">
    <w:abstractNumId w:val="20"/>
  </w:num>
  <w:num w:numId="34">
    <w:abstractNumId w:val="40"/>
  </w:num>
  <w:num w:numId="35">
    <w:abstractNumId w:val="29"/>
  </w:num>
  <w:num w:numId="36">
    <w:abstractNumId w:val="28"/>
  </w:num>
  <w:num w:numId="37">
    <w:abstractNumId w:val="31"/>
  </w:num>
  <w:num w:numId="38">
    <w:abstractNumId w:val="26"/>
  </w:num>
  <w:num w:numId="39">
    <w:abstractNumId w:val="15"/>
  </w:num>
  <w:num w:numId="40">
    <w:abstractNumId w:val="37"/>
  </w:num>
  <w:num w:numId="41">
    <w:abstractNumId w:val="34"/>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18"/>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F93"/>
    <w:rsid w:val="00184FCB"/>
    <w:rsid w:val="001962A6"/>
    <w:rsid w:val="00197419"/>
    <w:rsid w:val="001B6E94"/>
    <w:rsid w:val="001C28B8"/>
    <w:rsid w:val="001C5E1F"/>
    <w:rsid w:val="001C7751"/>
    <w:rsid w:val="001D1964"/>
    <w:rsid w:val="001D4840"/>
    <w:rsid w:val="001D4D30"/>
    <w:rsid w:val="001E6381"/>
    <w:rsid w:val="001E7E8C"/>
    <w:rsid w:val="00222918"/>
    <w:rsid w:val="00247CBE"/>
    <w:rsid w:val="002507EE"/>
    <w:rsid w:val="0025708E"/>
    <w:rsid w:val="00271938"/>
    <w:rsid w:val="00293D9D"/>
    <w:rsid w:val="002A45FC"/>
    <w:rsid w:val="002B5D26"/>
    <w:rsid w:val="002C3614"/>
    <w:rsid w:val="002D38C6"/>
    <w:rsid w:val="002E4407"/>
    <w:rsid w:val="002F2C0D"/>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73074"/>
    <w:rsid w:val="00680632"/>
    <w:rsid w:val="006B0EBC"/>
    <w:rsid w:val="006B5ECE"/>
    <w:rsid w:val="006B6267"/>
    <w:rsid w:val="006C1052"/>
    <w:rsid w:val="006C66DE"/>
    <w:rsid w:val="006D36F2"/>
    <w:rsid w:val="006D37D8"/>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60D2"/>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0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421&amp;utm_language=ES&amp;utm_source=integrated+content&amp;utm_campaign=/capacity-planning-templates&amp;utm_medium=ic+itil+capacity+planning+27421+word+es&amp;lpa=ic+itil+capacity+planning+27421+word+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IC-ITIL-Capacity-Planning-Template_WORD.dotx</Template>
  <TotalTime>0</TotalTime>
  <Pages>4</Pages>
  <Words>271</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2019-05-09T20:47:00Z</cp:lastPrinted>
  <dcterms:created xsi:type="dcterms:W3CDTF">2021-08-16T18:26:00Z</dcterms:created>
  <dcterms:modified xsi:type="dcterms:W3CDTF">2021-08-16T18:26:00Z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